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стоимости  ценных бумаг</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стоимости ценных бумаг»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«Оценка стоимости  ценных бумаг».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стоимости  ценных бумаг»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стоимость движимого и недвижимого имущества, прав, работ и услуг, связанных с объектами недвижимости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особенности ценообразования на рынке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влияние различных видов износа и ремонта на стоимость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методы организации работ по определению стоимостей движимого и недвижимого имущества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выявлять основные особенности и характеристики движимого и недвижимого имущества в переговорах с заказчиками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выявлять основные особенности и характеристики движимого и недвижимого имущества в переговорах с заказчиками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пользоваться источниками информации, выявлять и отображать ценообразующие факторы объектов движимого и недвижимого имущества и их аналогов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формулы для расчета стоимостей в соответствии со стандартами, правилами и методологией определения стоимостей движимого и недвижимого имущества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привлечения отраслевых экспертов для проведения исследований, требующих специальных знаний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описания движимого и недвижимого имущества, изучения рынка движимого и недвижимого имущества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определения итоговых величин стоимостей движимого и недвижимого имущества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владеть навыками проведения расчетов при определении стоимости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владеть навыками установления ограничений и пределов применения полученных величин стоимостей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выбора методов и подходов для определения стоимостей движимого и недвижимого имущества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установления допущений и ограничивающих условий при определении стоимостей движимого и недвижимого имущества</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«Оценка стоимости  ценных бумаг» относится к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Ценообразование в оценочной 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оценочной деятельности в Российской Федерации</w:t>
            </w:r>
          </w:p>
          <w:p>
            <w:pPr>
              <w:jc w:val="center"/>
              <w:spacing w:after="0" w:line="240" w:lineRule="auto"/>
              <w:rPr>
                <w:sz w:val="22"/>
                <w:szCs w:val="22"/>
              </w:rPr>
            </w:pPr>
            <w:r>
              <w:rPr>
                <w:rFonts w:ascii="Times New Roman" w:hAnsi="Times New Roman" w:cs="Times New Roman"/>
                <w:color w:val="#000000"/>
                <w:sz w:val="22"/>
                <w:szCs w:val="22"/>
              </w:rPr>
              <w:t> Оценка и экспертиза стоимости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УК-10</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оценочной деятельности на рынке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доходности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Площадки торговли и оценки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Регулирование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Компьютерное моделирование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Структурирование формы доходности ПИФов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 норма доходности облигаций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и их нейтрализация в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Альтернативные ценные бумаги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ценных бумаг и его участники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Интернет-торговля ценными бумагами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Стоимостные и оценочные показатели акций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Стоимостные и оценочные показатели облигаций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Неэмиссионные ценные бумаги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Банковские сертификаты и другие ценные бумаги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Акции и акционерные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государства в поддержке ПИФов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ценные бумаги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370.2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рынка ценных бумаг</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рынка ценных бумаг</w:t>
            </w:r>
          </w:p>
          <w:p>
            <w:pPr>
              <w:jc w:val="both"/>
              <w:spacing w:after="0" w:line="240" w:lineRule="auto"/>
              <w:rPr>
                <w:sz w:val="24"/>
                <w:szCs w:val="24"/>
              </w:rPr>
            </w:pPr>
            <w:r>
              <w:rPr>
                <w:rFonts w:ascii="Times New Roman" w:hAnsi="Times New Roman" w:cs="Times New Roman"/>
                <w:color w:val="#000000"/>
                <w:sz w:val="24"/>
                <w:szCs w:val="24"/>
              </w:rPr>
              <w:t> Участники рынка ценных бумаг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доходности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ценных бумаг</w:t>
            </w:r>
          </w:p>
          <w:p>
            <w:pPr>
              <w:jc w:val="both"/>
              <w:spacing w:after="0" w:line="240" w:lineRule="auto"/>
              <w:rPr>
                <w:sz w:val="24"/>
                <w:szCs w:val="24"/>
              </w:rPr>
            </w:pPr>
            <w:r>
              <w:rPr>
                <w:rFonts w:ascii="Times New Roman" w:hAnsi="Times New Roman" w:cs="Times New Roman"/>
                <w:color w:val="#000000"/>
                <w:sz w:val="24"/>
                <w:szCs w:val="24"/>
              </w:rPr>
              <w:t> Формы ценных бумаг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Площадки торговли и оценки ценных бумаг</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Ценные бумаги в интернете</w:t>
            </w:r>
          </w:p>
          <w:p>
            <w:pPr>
              <w:jc w:val="both"/>
              <w:spacing w:after="0" w:line="240" w:lineRule="auto"/>
              <w:rPr>
                <w:sz w:val="24"/>
                <w:szCs w:val="24"/>
              </w:rPr>
            </w:pPr>
            <w:r>
              <w:rPr>
                <w:rFonts w:ascii="Times New Roman" w:hAnsi="Times New Roman" w:cs="Times New Roman"/>
                <w:color w:val="#000000"/>
                <w:sz w:val="24"/>
                <w:szCs w:val="24"/>
              </w:rPr>
              <w:t> Особенности Интернет-торговли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Регулирование рынка ценных бумаг</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акций</w:t>
            </w:r>
          </w:p>
          <w:p>
            <w:pPr>
              <w:jc w:val="both"/>
              <w:spacing w:after="0" w:line="240" w:lineRule="auto"/>
              <w:rPr>
                <w:sz w:val="24"/>
                <w:szCs w:val="24"/>
              </w:rPr>
            </w:pPr>
            <w:r>
              <w:rPr>
                <w:rFonts w:ascii="Times New Roman" w:hAnsi="Times New Roman" w:cs="Times New Roman"/>
                <w:color w:val="#000000"/>
                <w:sz w:val="24"/>
                <w:szCs w:val="24"/>
              </w:rPr>
              <w:t> Акционерные общества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Компьютерное моделирование оценочной деятельности</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Стоимостные показатели акций</w:t>
            </w:r>
          </w:p>
          <w:p>
            <w:pPr>
              <w:jc w:val="both"/>
              <w:spacing w:after="0" w:line="240" w:lineRule="auto"/>
              <w:rPr>
                <w:sz w:val="24"/>
                <w:szCs w:val="24"/>
              </w:rPr>
            </w:pPr>
            <w:r>
              <w:rPr>
                <w:rFonts w:ascii="Times New Roman" w:hAnsi="Times New Roman" w:cs="Times New Roman"/>
                <w:color w:val="#000000"/>
                <w:sz w:val="24"/>
                <w:szCs w:val="24"/>
              </w:rPr>
              <w:t> Оценочные показатели акций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Структурирование формы доходности ПИФов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понятие пая</w:t>
            </w:r>
          </w:p>
          <w:p>
            <w:pPr>
              <w:jc w:val="both"/>
              <w:spacing w:after="0" w:line="240" w:lineRule="auto"/>
              <w:rPr>
                <w:sz w:val="24"/>
                <w:szCs w:val="24"/>
              </w:rPr>
            </w:pPr>
            <w:r>
              <w:rPr>
                <w:rFonts w:ascii="Times New Roman" w:hAnsi="Times New Roman" w:cs="Times New Roman"/>
                <w:color w:val="#000000"/>
                <w:sz w:val="24"/>
                <w:szCs w:val="24"/>
              </w:rPr>
              <w:t> Сущность инвестиционных фондов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и норма доходности облигаций</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Стоимостные показатели облигаций</w:t>
            </w:r>
          </w:p>
          <w:p>
            <w:pPr>
              <w:jc w:val="both"/>
              <w:spacing w:after="0" w:line="240" w:lineRule="auto"/>
              <w:rPr>
                <w:sz w:val="24"/>
                <w:szCs w:val="24"/>
              </w:rPr>
            </w:pPr>
            <w:r>
              <w:rPr>
                <w:rFonts w:ascii="Times New Roman" w:hAnsi="Times New Roman" w:cs="Times New Roman"/>
                <w:color w:val="#000000"/>
                <w:sz w:val="24"/>
                <w:szCs w:val="24"/>
              </w:rPr>
              <w:t> Оценочные показатели облигаций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и их нейтрализация в оценочной деятельности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рисков</w:t>
            </w:r>
          </w:p>
          <w:p>
            <w:pPr>
              <w:jc w:val="both"/>
              <w:spacing w:after="0" w:line="240" w:lineRule="auto"/>
              <w:rPr>
                <w:sz w:val="24"/>
                <w:szCs w:val="24"/>
              </w:rPr>
            </w:pPr>
            <w:r>
              <w:rPr>
                <w:rFonts w:ascii="Times New Roman" w:hAnsi="Times New Roman" w:cs="Times New Roman"/>
                <w:color w:val="#000000"/>
                <w:sz w:val="24"/>
                <w:szCs w:val="24"/>
              </w:rPr>
              <w:t> Сущность и формы рисков при оценке ценных бумаг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Альтернативные ценные бумаги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особенности финансового рынка. Нормы доходности современных финансовых инструментов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Рынок ценных бумаг и его участники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Секъюритизация финансовых рынков</w:t>
            </w:r>
          </w:p>
          <w:p>
            <w:pPr>
              <w:jc w:val="both"/>
              <w:spacing w:after="0" w:line="240" w:lineRule="auto"/>
              <w:rPr>
                <w:sz w:val="24"/>
                <w:szCs w:val="24"/>
              </w:rPr>
            </w:pPr>
            <w:r>
              <w:rPr>
                <w:rFonts w:ascii="Times New Roman" w:hAnsi="Times New Roman" w:cs="Times New Roman"/>
                <w:color w:val="#000000"/>
                <w:sz w:val="24"/>
                <w:szCs w:val="24"/>
              </w:rPr>
              <w:t> Секъюритизация финансовых активов</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Интернет-торговля ценными бумагами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интернет торгов</w:t>
            </w:r>
          </w:p>
          <w:p>
            <w:pPr>
              <w:jc w:val="both"/>
              <w:spacing w:after="0" w:line="240" w:lineRule="auto"/>
              <w:rPr>
                <w:sz w:val="24"/>
                <w:szCs w:val="24"/>
              </w:rPr>
            </w:pPr>
            <w:r>
              <w:rPr>
                <w:rFonts w:ascii="Times New Roman" w:hAnsi="Times New Roman" w:cs="Times New Roman"/>
                <w:color w:val="#000000"/>
                <w:sz w:val="24"/>
                <w:szCs w:val="24"/>
              </w:rPr>
              <w:t> Электронные площадки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Стоимостные и оценочные показатели акций</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скользящего среднего</w:t>
            </w:r>
          </w:p>
          <w:p>
            <w:pPr>
              <w:jc w:val="both"/>
              <w:spacing w:after="0" w:line="240" w:lineRule="auto"/>
              <w:rPr>
                <w:sz w:val="24"/>
                <w:szCs w:val="24"/>
              </w:rPr>
            </w:pPr>
            <w:r>
              <w:rPr>
                <w:rFonts w:ascii="Times New Roman" w:hAnsi="Times New Roman" w:cs="Times New Roman"/>
                <w:color w:val="#000000"/>
                <w:sz w:val="24"/>
                <w:szCs w:val="24"/>
              </w:rPr>
              <w:t> Компьютерное моделирование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Стоимостные и оценочные показатели облигаций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Доходность по облигациям</w:t>
            </w:r>
          </w:p>
          <w:p>
            <w:pPr>
              <w:jc w:val="both"/>
              <w:spacing w:after="0" w:line="240" w:lineRule="auto"/>
              <w:rPr>
                <w:sz w:val="24"/>
                <w:szCs w:val="24"/>
              </w:rPr>
            </w:pPr>
            <w:r>
              <w:rPr>
                <w:rFonts w:ascii="Times New Roman" w:hAnsi="Times New Roman" w:cs="Times New Roman"/>
                <w:color w:val="#000000"/>
                <w:sz w:val="24"/>
                <w:szCs w:val="24"/>
              </w:rPr>
              <w:t> Выкуп и продажа облигаций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Неэмиссионные ценные бумаги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векселя.</w:t>
            </w:r>
          </w:p>
          <w:p>
            <w:pPr>
              <w:jc w:val="both"/>
              <w:spacing w:after="0" w:line="240" w:lineRule="auto"/>
              <w:rPr>
                <w:sz w:val="24"/>
                <w:szCs w:val="24"/>
              </w:rPr>
            </w:pPr>
            <w:r>
              <w:rPr>
                <w:rFonts w:ascii="Times New Roman" w:hAnsi="Times New Roman" w:cs="Times New Roman"/>
                <w:color w:val="#000000"/>
                <w:sz w:val="24"/>
                <w:szCs w:val="24"/>
              </w:rPr>
              <w:t> Вексельные операции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Банковские сертификаты и другие ценные бумаги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доходности по ценным бумагам</w:t>
            </w:r>
          </w:p>
          <w:p>
            <w:pPr>
              <w:jc w:val="left"/>
              <w:spacing w:after="0" w:line="240" w:lineRule="auto"/>
              <w:rPr>
                <w:sz w:val="24"/>
                <w:szCs w:val="24"/>
              </w:rPr>
            </w:pPr>
            <w:r>
              <w:rPr>
                <w:rFonts w:ascii="Times New Roman" w:hAnsi="Times New Roman" w:cs="Times New Roman"/>
                <w:color w:val="#000000"/>
                <w:sz w:val="24"/>
                <w:szCs w:val="24"/>
              </w:rPr>
              <w:t> Перспективы приобретения ценных бумаг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Акции и акционерные общества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по акциям</w:t>
            </w:r>
          </w:p>
          <w:p>
            <w:pPr>
              <w:jc w:val="left"/>
              <w:spacing w:after="0" w:line="240" w:lineRule="auto"/>
              <w:rPr>
                <w:sz w:val="24"/>
                <w:szCs w:val="24"/>
              </w:rPr>
            </w:pPr>
            <w:r>
              <w:rPr>
                <w:rFonts w:ascii="Times New Roman" w:hAnsi="Times New Roman" w:cs="Times New Roman"/>
                <w:color w:val="#000000"/>
                <w:sz w:val="24"/>
                <w:szCs w:val="24"/>
              </w:rPr>
              <w:t> Выкуп и продажа акций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государства в поддержке ПИФов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государственной поддержки ПИФов</w:t>
            </w:r>
          </w:p>
          <w:p>
            <w:pPr>
              <w:jc w:val="left"/>
              <w:spacing w:after="0" w:line="240" w:lineRule="auto"/>
              <w:rPr>
                <w:sz w:val="24"/>
                <w:szCs w:val="24"/>
              </w:rPr>
            </w:pPr>
            <w:r>
              <w:rPr>
                <w:rFonts w:ascii="Times New Roman" w:hAnsi="Times New Roman" w:cs="Times New Roman"/>
                <w:color w:val="#000000"/>
                <w:sz w:val="24"/>
                <w:szCs w:val="24"/>
              </w:rPr>
              <w:t> Формирование нормы доходности фонда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ценные бумаги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Операции по государственным ценным бумагам</w:t>
            </w:r>
          </w:p>
          <w:p>
            <w:pPr>
              <w:jc w:val="left"/>
              <w:spacing w:after="0" w:line="240" w:lineRule="auto"/>
              <w:rPr>
                <w:sz w:val="24"/>
                <w:szCs w:val="24"/>
              </w:rPr>
            </w:pPr>
            <w:r>
              <w:rPr>
                <w:rFonts w:ascii="Times New Roman" w:hAnsi="Times New Roman" w:cs="Times New Roman"/>
                <w:color w:val="#000000"/>
                <w:sz w:val="24"/>
                <w:szCs w:val="24"/>
              </w:rPr>
              <w:t> Политические риски и доходность государственных ценных бумаг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стоимости  ценных бумаг»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Производные</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инструменты:</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деривативов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https://urait.ru/bcode/457041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активов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Землянский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https://urait.ru/bcode/455704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приложение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https://urait.ru/bcode/450095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https://urait.ru/bcode/451004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2023-2024_ФГОС3++2023_Бак-ОФО-Э(БАиОСИ)(23)_plx_Оценка стоимости  ценных бумаг</dc:title>
  <dc:creator>FastReport.NET</dc:creator>
</cp:coreProperties>
</file>